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mbria" w:cs="Cambria" w:eastAsia="Cambria" w:hAnsi="Cambria"/>
          <w:b w:val="0"/>
          <w:smallCaps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Príloha č. 4 Výzvy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0"/>
          <w:smallCaps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44"/>
          <w:szCs w:val="44"/>
          <w:rtl w:val="0"/>
        </w:rPr>
        <w:t xml:space="preserve">Identifikačné údaje účastníka súťaže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32" w:hanging="28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Názov súťaže: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Mobiliár cykloturistickej infraštruktúry v regióne Liptov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Vyhlasovateľ:</w:t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OOCR Region Liptov.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Meno a priezvisko/obchodné meno/názov účastníka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Sídlo/miesto podnikania/adresa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IČO (ak bolo pridelené)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Bankové spojenie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Telefonické spojenie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Emailové spojenie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My, nižšie podpísaní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autori návrhu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súhlasíme s jeho použitím účastníkom v súťaži vyhlasovateľa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………………………………………………………...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 v prípade víťazstva aj s jeho rozpracovaním účastníkom na účely uvedené vo výzve na predkladanie ponúk a v jej prílohách. 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Autori návrhu: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3964"/>
        <w:tblGridChange w:id="0">
          <w:tblGrid>
            <w:gridCol w:w="5098"/>
            <w:gridCol w:w="3964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Meno a priezvisko autora:</w:t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Podpis autora: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(počet riadkov zmeniť podľa potreby)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.......................................... dňa ................................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Podpis účastníka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